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9798" w14:textId="1ADD7244" w:rsidR="003332A0" w:rsidRPr="00B659E2" w:rsidRDefault="003332A0" w:rsidP="009A24B9">
      <w:pPr>
        <w:shd w:val="clear" w:color="auto" w:fill="00B0F0"/>
        <w:jc w:val="center"/>
        <w:rPr>
          <w:rFonts w:cstheme="minorHAnsi"/>
          <w:b/>
          <w:bCs/>
          <w:sz w:val="28"/>
          <w:szCs w:val="26"/>
          <w:lang w:val="en-GB"/>
        </w:rPr>
      </w:pPr>
      <w:bookmarkStart w:id="0" w:name="_GoBack"/>
      <w:bookmarkEnd w:id="0"/>
      <w:r w:rsidRPr="00B659E2">
        <w:rPr>
          <w:rFonts w:cstheme="minorHAnsi"/>
          <w:b/>
          <w:bCs/>
          <w:sz w:val="28"/>
          <w:szCs w:val="26"/>
          <w:lang w:val="en-GB"/>
        </w:rPr>
        <w:t>Strategic Support Function Sup</w:t>
      </w:r>
      <w:r w:rsidR="003D04DA" w:rsidRPr="00B659E2">
        <w:rPr>
          <w:rFonts w:cstheme="minorHAnsi"/>
          <w:b/>
          <w:bCs/>
          <w:sz w:val="28"/>
          <w:szCs w:val="26"/>
          <w:lang w:val="en-GB"/>
        </w:rPr>
        <w:t>p</w:t>
      </w:r>
      <w:r w:rsidRPr="00B659E2">
        <w:rPr>
          <w:rFonts w:cstheme="minorHAnsi"/>
          <w:b/>
          <w:bCs/>
          <w:sz w:val="28"/>
          <w:szCs w:val="26"/>
          <w:lang w:val="en-GB"/>
        </w:rPr>
        <w:t>ort (SSF)</w:t>
      </w:r>
      <w:r w:rsidR="003D04DA" w:rsidRPr="00B659E2">
        <w:rPr>
          <w:rFonts w:cstheme="minorHAnsi"/>
          <w:b/>
          <w:bCs/>
          <w:sz w:val="28"/>
          <w:szCs w:val="26"/>
          <w:lang w:val="en-GB"/>
        </w:rPr>
        <w:t xml:space="preserve"> Project</w:t>
      </w:r>
    </w:p>
    <w:p w14:paraId="0692B630" w14:textId="77777777" w:rsidR="003D04DA" w:rsidRPr="00B659E2" w:rsidRDefault="003D04DA" w:rsidP="003D04DA">
      <w:pPr>
        <w:pStyle w:val="Rubrik1"/>
        <w:tabs>
          <w:tab w:val="left" w:pos="426"/>
        </w:tabs>
        <w:spacing w:before="360" w:after="120"/>
        <w:rPr>
          <w:rFonts w:asciiTheme="minorHAnsi" w:hAnsiTheme="minorHAnsi" w:cstheme="minorHAnsi"/>
          <w:sz w:val="28"/>
          <w:szCs w:val="28"/>
          <w:lang w:val="en-GB"/>
        </w:rPr>
      </w:pPr>
      <w:bookmarkStart w:id="1" w:name="_Toc479579616"/>
      <w:r w:rsidRPr="00B659E2">
        <w:rPr>
          <w:rFonts w:asciiTheme="minorHAnsi" w:hAnsiTheme="minorHAnsi" w:cstheme="minorHAnsi"/>
          <w:sz w:val="28"/>
          <w:szCs w:val="28"/>
          <w:lang w:val="en-GB"/>
        </w:rPr>
        <w:t>Basic Information</w:t>
      </w:r>
      <w:bookmarkEnd w:id="1"/>
    </w:p>
    <w:tbl>
      <w:tblPr>
        <w:tblStyle w:val="Tabellrutnt"/>
        <w:tblW w:w="9747" w:type="dxa"/>
        <w:tblLook w:val="01E0" w:firstRow="1" w:lastRow="1" w:firstColumn="1" w:lastColumn="1" w:noHBand="0" w:noVBand="0"/>
      </w:tblPr>
      <w:tblGrid>
        <w:gridCol w:w="4390"/>
        <w:gridCol w:w="5357"/>
      </w:tblGrid>
      <w:tr w:rsidR="003D04DA" w:rsidRPr="00B659E2" w14:paraId="5547BD10" w14:textId="77777777" w:rsidTr="001B7C89">
        <w:trPr>
          <w:trHeight w:val="570"/>
        </w:trPr>
        <w:tc>
          <w:tcPr>
            <w:tcW w:w="4390" w:type="dxa"/>
          </w:tcPr>
          <w:p w14:paraId="4563FD4B" w14:textId="77777777" w:rsidR="003D04DA" w:rsidRPr="00B659E2" w:rsidRDefault="003D04DA" w:rsidP="001B7C89">
            <w:pPr>
              <w:rPr>
                <w:rFonts w:asciiTheme="minorHAnsi" w:hAnsiTheme="minorHAnsi" w:cstheme="minorHAnsi"/>
                <w:b/>
                <w:szCs w:val="16"/>
                <w:lang w:val="en-GB"/>
              </w:rPr>
            </w:pPr>
            <w:r w:rsidRPr="00B659E2">
              <w:rPr>
                <w:rFonts w:asciiTheme="minorHAnsi" w:hAnsiTheme="minorHAnsi" w:cstheme="minorHAnsi"/>
                <w:b/>
                <w:szCs w:val="16"/>
                <w:lang w:val="en-GB"/>
              </w:rPr>
              <w:t>Country</w:t>
            </w:r>
          </w:p>
          <w:p w14:paraId="27F90662" w14:textId="77777777" w:rsidR="003D04DA" w:rsidRPr="00B659E2" w:rsidRDefault="003D04DA" w:rsidP="001B7C89">
            <w:pPr>
              <w:rPr>
                <w:rFonts w:asciiTheme="minorHAnsi" w:hAnsiTheme="minorHAnsi" w:cstheme="minorHAnsi"/>
                <w:bCs/>
                <w:szCs w:val="16"/>
                <w:lang w:val="en-GB"/>
              </w:rPr>
            </w:pPr>
            <w:r w:rsidRPr="00B659E2">
              <w:rPr>
                <w:rFonts w:asciiTheme="minorHAnsi" w:hAnsiTheme="minorHAnsi" w:cstheme="minorHAnsi"/>
                <w:bCs/>
                <w:szCs w:val="16"/>
                <w:lang w:val="en-GB"/>
              </w:rPr>
              <w:t>Nepal</w:t>
            </w:r>
          </w:p>
        </w:tc>
        <w:tc>
          <w:tcPr>
            <w:tcW w:w="5357" w:type="dxa"/>
          </w:tcPr>
          <w:p w14:paraId="177692CE" w14:textId="52167AA6" w:rsidR="003D04DA" w:rsidRPr="00B659E2" w:rsidRDefault="003D04DA" w:rsidP="001B7C89">
            <w:pPr>
              <w:rPr>
                <w:rFonts w:asciiTheme="minorHAnsi" w:hAnsiTheme="minorHAnsi" w:cstheme="minorHAnsi"/>
                <w:b/>
                <w:szCs w:val="16"/>
                <w:lang w:val="en-GB"/>
              </w:rPr>
            </w:pPr>
            <w:r w:rsidRPr="00B659E2">
              <w:rPr>
                <w:rFonts w:asciiTheme="minorHAnsi" w:hAnsiTheme="minorHAnsi" w:cstheme="minorHAnsi"/>
                <w:b/>
                <w:szCs w:val="16"/>
                <w:lang w:val="en-GB"/>
              </w:rPr>
              <w:t>Project</w:t>
            </w:r>
          </w:p>
          <w:p w14:paraId="436C124A" w14:textId="00FEBD6A" w:rsidR="003D04DA" w:rsidRPr="00B659E2" w:rsidRDefault="003D04DA" w:rsidP="001B7C89">
            <w:pPr>
              <w:rPr>
                <w:rFonts w:asciiTheme="minorHAnsi" w:hAnsiTheme="minorHAnsi" w:cstheme="minorHAnsi"/>
                <w:bCs/>
                <w:szCs w:val="16"/>
                <w:lang w:val="en-GB"/>
              </w:rPr>
            </w:pPr>
            <w:r w:rsidRPr="00B659E2">
              <w:rPr>
                <w:rFonts w:asciiTheme="minorHAnsi" w:hAnsiTheme="minorHAnsi" w:cstheme="minorHAnsi"/>
                <w:bCs/>
                <w:szCs w:val="16"/>
                <w:lang w:val="en-GB"/>
              </w:rPr>
              <w:t>Strategic Support Function (SSF)</w:t>
            </w:r>
          </w:p>
          <w:p w14:paraId="3AEA9AF7" w14:textId="77777777" w:rsidR="003D04DA" w:rsidRPr="00B659E2" w:rsidRDefault="003D04DA" w:rsidP="001B7C89">
            <w:pPr>
              <w:rPr>
                <w:rFonts w:asciiTheme="minorHAnsi" w:hAnsiTheme="minorHAnsi" w:cstheme="minorHAnsi"/>
                <w:b/>
                <w:szCs w:val="16"/>
                <w:lang w:val="en-GB"/>
              </w:rPr>
            </w:pPr>
          </w:p>
        </w:tc>
      </w:tr>
      <w:tr w:rsidR="003D04DA" w:rsidRPr="00B659E2" w14:paraId="4651875A" w14:textId="77777777" w:rsidTr="001B7C89">
        <w:trPr>
          <w:trHeight w:val="570"/>
        </w:trPr>
        <w:tc>
          <w:tcPr>
            <w:tcW w:w="4390" w:type="dxa"/>
          </w:tcPr>
          <w:p w14:paraId="3C2CE5A8" w14:textId="77777777" w:rsidR="003D04DA" w:rsidRPr="00B659E2" w:rsidRDefault="003D04DA" w:rsidP="001B7C89">
            <w:pPr>
              <w:rPr>
                <w:rFonts w:asciiTheme="minorHAnsi" w:hAnsiTheme="minorHAnsi" w:cstheme="minorHAnsi"/>
                <w:b/>
                <w:szCs w:val="16"/>
                <w:lang w:val="en-GB"/>
              </w:rPr>
            </w:pPr>
            <w:r w:rsidRPr="00B659E2">
              <w:rPr>
                <w:rFonts w:asciiTheme="minorHAnsi" w:hAnsiTheme="minorHAnsi" w:cstheme="minorHAnsi"/>
                <w:b/>
                <w:szCs w:val="16"/>
                <w:lang w:val="en-GB"/>
              </w:rPr>
              <w:t>Geographical area</w:t>
            </w:r>
          </w:p>
          <w:p w14:paraId="21732584" w14:textId="77777777" w:rsidR="003D04DA" w:rsidRPr="00B659E2" w:rsidRDefault="003D04DA" w:rsidP="001B7C89">
            <w:pPr>
              <w:rPr>
                <w:rFonts w:asciiTheme="minorHAnsi" w:hAnsiTheme="minorHAnsi" w:cstheme="minorHAnsi"/>
                <w:bCs/>
                <w:szCs w:val="16"/>
                <w:lang w:val="en-GB"/>
              </w:rPr>
            </w:pPr>
            <w:r w:rsidRPr="00B659E2">
              <w:rPr>
                <w:rFonts w:asciiTheme="minorHAnsi" w:hAnsiTheme="minorHAnsi" w:cstheme="minorHAnsi"/>
                <w:bCs/>
                <w:szCs w:val="16"/>
                <w:lang w:val="en-GB"/>
              </w:rPr>
              <w:t>Nepal</w:t>
            </w:r>
          </w:p>
          <w:p w14:paraId="5972F75E" w14:textId="77777777" w:rsidR="003D04DA" w:rsidRPr="00B659E2" w:rsidRDefault="003D04DA" w:rsidP="001B7C89">
            <w:pPr>
              <w:rPr>
                <w:rFonts w:asciiTheme="minorHAnsi" w:hAnsiTheme="minorHAnsi" w:cstheme="minorHAnsi"/>
                <w:b/>
                <w:szCs w:val="16"/>
                <w:lang w:val="en-GB"/>
              </w:rPr>
            </w:pPr>
          </w:p>
        </w:tc>
        <w:tc>
          <w:tcPr>
            <w:tcW w:w="5357" w:type="dxa"/>
          </w:tcPr>
          <w:p w14:paraId="2A88B6C1" w14:textId="77777777" w:rsidR="003D04DA" w:rsidRPr="00B659E2" w:rsidRDefault="003D04DA" w:rsidP="001B7C89">
            <w:pPr>
              <w:rPr>
                <w:rFonts w:asciiTheme="minorHAnsi" w:hAnsiTheme="minorHAnsi" w:cstheme="minorHAnsi"/>
                <w:b/>
                <w:szCs w:val="16"/>
                <w:lang w:val="en-GB"/>
              </w:rPr>
            </w:pPr>
            <w:r w:rsidRPr="00B659E2">
              <w:rPr>
                <w:rFonts w:asciiTheme="minorHAnsi" w:hAnsiTheme="minorHAnsi" w:cstheme="minorHAnsi"/>
                <w:b/>
                <w:szCs w:val="16"/>
                <w:lang w:val="en-GB"/>
              </w:rPr>
              <w:t>Organisation</w:t>
            </w:r>
          </w:p>
          <w:p w14:paraId="59D7C947" w14:textId="77777777" w:rsidR="003D04DA" w:rsidRPr="00B659E2" w:rsidRDefault="003D04DA" w:rsidP="001B7C89">
            <w:pPr>
              <w:rPr>
                <w:rFonts w:asciiTheme="minorHAnsi" w:hAnsiTheme="minorHAnsi" w:cstheme="minorHAnsi"/>
                <w:bCs/>
                <w:szCs w:val="16"/>
                <w:lang w:val="en-GB"/>
              </w:rPr>
            </w:pPr>
            <w:r w:rsidRPr="00B659E2">
              <w:rPr>
                <w:rFonts w:asciiTheme="minorHAnsi" w:hAnsiTheme="minorHAnsi" w:cstheme="minorHAnsi"/>
                <w:bCs/>
                <w:szCs w:val="16"/>
                <w:lang w:val="en-GB"/>
              </w:rPr>
              <w:t>United Mission to Nepal</w:t>
            </w:r>
          </w:p>
        </w:tc>
      </w:tr>
      <w:tr w:rsidR="003D04DA" w:rsidRPr="00B659E2" w14:paraId="100A3409" w14:textId="77777777" w:rsidTr="001B7C89">
        <w:trPr>
          <w:trHeight w:val="570"/>
        </w:trPr>
        <w:tc>
          <w:tcPr>
            <w:tcW w:w="4390" w:type="dxa"/>
          </w:tcPr>
          <w:p w14:paraId="40C26A60" w14:textId="7BAD9846" w:rsidR="003D04DA" w:rsidRPr="00B659E2" w:rsidRDefault="003D04DA" w:rsidP="001B7C89">
            <w:pPr>
              <w:rPr>
                <w:rFonts w:asciiTheme="minorHAnsi" w:hAnsiTheme="minorHAnsi" w:cstheme="minorHAnsi"/>
                <w:b/>
                <w:bCs/>
                <w:szCs w:val="16"/>
                <w:lang w:val="en-GB"/>
              </w:rPr>
            </w:pPr>
            <w:r w:rsidRPr="00B659E2">
              <w:rPr>
                <w:rFonts w:asciiTheme="minorHAnsi" w:hAnsiTheme="minorHAnsi" w:cstheme="minorHAnsi"/>
                <w:b/>
                <w:bCs/>
                <w:szCs w:val="16"/>
                <w:lang w:val="en-GB"/>
              </w:rPr>
              <w:t xml:space="preserve">Funding Partner </w:t>
            </w:r>
          </w:p>
          <w:p w14:paraId="7D77C72D" w14:textId="77777777" w:rsidR="003D04DA" w:rsidRPr="00B659E2" w:rsidRDefault="003D04DA" w:rsidP="001B7C89">
            <w:pPr>
              <w:rPr>
                <w:rFonts w:asciiTheme="minorHAnsi" w:hAnsiTheme="minorHAnsi" w:cstheme="minorHAnsi"/>
                <w:bCs/>
                <w:szCs w:val="16"/>
                <w:lang w:val="en-GB"/>
              </w:rPr>
            </w:pPr>
            <w:r w:rsidRPr="00B659E2">
              <w:rPr>
                <w:rFonts w:asciiTheme="minorHAnsi" w:hAnsiTheme="minorHAnsi" w:cstheme="minorHAnsi"/>
                <w:bCs/>
                <w:szCs w:val="16"/>
                <w:lang w:val="en-GB"/>
              </w:rPr>
              <w:t>PMU</w:t>
            </w:r>
          </w:p>
        </w:tc>
        <w:tc>
          <w:tcPr>
            <w:tcW w:w="5357" w:type="dxa"/>
          </w:tcPr>
          <w:p w14:paraId="77211589" w14:textId="64717161" w:rsidR="003D04DA" w:rsidRPr="00B659E2" w:rsidRDefault="003D04DA" w:rsidP="001B7C89">
            <w:pPr>
              <w:rPr>
                <w:rFonts w:asciiTheme="minorHAnsi" w:hAnsiTheme="minorHAnsi" w:cstheme="minorHAnsi"/>
                <w:b/>
                <w:szCs w:val="16"/>
                <w:lang w:val="en-GB"/>
              </w:rPr>
            </w:pPr>
            <w:r w:rsidRPr="00B659E2">
              <w:rPr>
                <w:rFonts w:asciiTheme="minorHAnsi" w:hAnsiTheme="minorHAnsi" w:cstheme="minorHAnsi"/>
                <w:b/>
                <w:szCs w:val="16"/>
                <w:lang w:val="en-GB"/>
              </w:rPr>
              <w:t>Project Duration</w:t>
            </w:r>
          </w:p>
          <w:p w14:paraId="4B442347" w14:textId="0C52BCD9" w:rsidR="003D04DA" w:rsidRPr="00B659E2" w:rsidRDefault="003D04DA" w:rsidP="001B7C89">
            <w:pPr>
              <w:rPr>
                <w:rFonts w:asciiTheme="minorHAnsi" w:hAnsiTheme="minorHAnsi" w:cstheme="minorHAnsi"/>
                <w:bCs/>
                <w:szCs w:val="16"/>
                <w:lang w:val="en-GB"/>
              </w:rPr>
            </w:pPr>
            <w:r w:rsidRPr="00B659E2">
              <w:rPr>
                <w:rFonts w:asciiTheme="minorHAnsi" w:hAnsiTheme="minorHAnsi" w:cstheme="minorHAnsi"/>
                <w:bCs/>
                <w:szCs w:val="16"/>
                <w:lang w:val="en-GB"/>
              </w:rPr>
              <w:t>January 2020 to December 2023</w:t>
            </w:r>
          </w:p>
        </w:tc>
      </w:tr>
      <w:tr w:rsidR="003D04DA" w:rsidRPr="00B659E2" w14:paraId="5D00ECF4" w14:textId="77777777" w:rsidTr="001B7C89">
        <w:trPr>
          <w:trHeight w:val="570"/>
        </w:trPr>
        <w:tc>
          <w:tcPr>
            <w:tcW w:w="4390" w:type="dxa"/>
          </w:tcPr>
          <w:p w14:paraId="078F4701" w14:textId="77777777" w:rsidR="003D04DA" w:rsidRPr="00B659E2" w:rsidRDefault="003D04DA" w:rsidP="003D04DA">
            <w:pPr>
              <w:spacing w:before="120" w:after="120"/>
              <w:jc w:val="both"/>
              <w:rPr>
                <w:rFonts w:asciiTheme="minorHAnsi" w:hAnsiTheme="minorHAnsi" w:cstheme="minorHAnsi"/>
                <w:b/>
                <w:bCs/>
                <w:color w:val="000000"/>
              </w:rPr>
            </w:pPr>
            <w:r w:rsidRPr="00B659E2">
              <w:rPr>
                <w:rFonts w:asciiTheme="minorHAnsi" w:hAnsiTheme="minorHAnsi" w:cstheme="minorHAnsi"/>
                <w:b/>
                <w:bCs/>
              </w:rPr>
              <w:t>Implementing Partner: United Mission to Nepal (UMN)</w:t>
            </w:r>
          </w:p>
          <w:p w14:paraId="7C12D417" w14:textId="77777777" w:rsidR="003D04DA" w:rsidRPr="00B659E2" w:rsidRDefault="003D04DA" w:rsidP="003D04DA">
            <w:pPr>
              <w:rPr>
                <w:rFonts w:asciiTheme="minorHAnsi" w:hAnsiTheme="minorHAnsi" w:cstheme="minorHAnsi"/>
                <w:b/>
                <w:bCs/>
                <w:szCs w:val="16"/>
                <w:lang w:val="en-GB"/>
              </w:rPr>
            </w:pPr>
          </w:p>
        </w:tc>
        <w:tc>
          <w:tcPr>
            <w:tcW w:w="5357" w:type="dxa"/>
          </w:tcPr>
          <w:p w14:paraId="795F6DB7" w14:textId="4C56467E" w:rsidR="003D04DA" w:rsidRPr="00B659E2" w:rsidRDefault="003D04DA" w:rsidP="003D04DA">
            <w:pPr>
              <w:rPr>
                <w:rFonts w:asciiTheme="minorHAnsi" w:hAnsiTheme="minorHAnsi" w:cstheme="minorHAnsi"/>
                <w:b/>
                <w:szCs w:val="16"/>
                <w:lang w:val="en-GB"/>
              </w:rPr>
            </w:pPr>
            <w:r w:rsidRPr="00B659E2">
              <w:rPr>
                <w:rFonts w:asciiTheme="minorHAnsi" w:hAnsiTheme="minorHAnsi" w:cstheme="minorHAnsi"/>
                <w:b/>
                <w:bCs/>
                <w:color w:val="000000"/>
              </w:rPr>
              <w:t xml:space="preserve">Working Areas: </w:t>
            </w:r>
            <w:r w:rsidRPr="00B659E2">
              <w:rPr>
                <w:rFonts w:asciiTheme="minorHAnsi" w:hAnsiTheme="minorHAnsi" w:cstheme="minorHAnsi"/>
                <w:color w:val="000000"/>
              </w:rPr>
              <w:t>UMN ‘s Central Office and Clusters</w:t>
            </w:r>
          </w:p>
        </w:tc>
      </w:tr>
      <w:tr w:rsidR="003D04DA" w:rsidRPr="00B659E2" w14:paraId="0C0DAE68" w14:textId="77777777" w:rsidTr="001B7C89">
        <w:trPr>
          <w:trHeight w:val="811"/>
        </w:trPr>
        <w:tc>
          <w:tcPr>
            <w:tcW w:w="4390" w:type="dxa"/>
          </w:tcPr>
          <w:p w14:paraId="10AF64CC" w14:textId="77777777" w:rsidR="003D04DA" w:rsidRPr="00B659E2" w:rsidRDefault="003D04DA" w:rsidP="003D04DA">
            <w:pPr>
              <w:rPr>
                <w:rFonts w:asciiTheme="minorHAnsi" w:hAnsiTheme="minorHAnsi" w:cstheme="minorHAnsi"/>
                <w:b/>
                <w:bCs/>
                <w:szCs w:val="16"/>
                <w:lang w:val="en-GB"/>
              </w:rPr>
            </w:pPr>
            <w:r w:rsidRPr="00B659E2">
              <w:rPr>
                <w:rFonts w:asciiTheme="minorHAnsi" w:hAnsiTheme="minorHAnsi" w:cstheme="minorHAnsi"/>
                <w:b/>
                <w:bCs/>
                <w:szCs w:val="16"/>
                <w:lang w:val="en-GB"/>
              </w:rPr>
              <w:t>Main thematic scope (building block)</w:t>
            </w:r>
          </w:p>
          <w:p w14:paraId="33BAA6C6" w14:textId="77777777" w:rsidR="003D04DA" w:rsidRPr="00B659E2" w:rsidRDefault="003D04DA" w:rsidP="003D04DA">
            <w:pPr>
              <w:rPr>
                <w:rFonts w:asciiTheme="minorHAnsi" w:hAnsiTheme="minorHAnsi" w:cstheme="minorHAnsi"/>
                <w:szCs w:val="16"/>
                <w:lang w:val="en-GB"/>
              </w:rPr>
            </w:pPr>
            <w:r w:rsidRPr="00B659E2">
              <w:rPr>
                <w:rFonts w:asciiTheme="minorHAnsi" w:hAnsiTheme="minorHAnsi" w:cstheme="minorHAnsi"/>
                <w:szCs w:val="16"/>
                <w:lang w:val="en-GB"/>
              </w:rPr>
              <w:t>Capacity Building</w:t>
            </w:r>
          </w:p>
        </w:tc>
        <w:tc>
          <w:tcPr>
            <w:tcW w:w="5357" w:type="dxa"/>
          </w:tcPr>
          <w:p w14:paraId="1A9CCA68" w14:textId="659024E4" w:rsidR="003D04DA" w:rsidRPr="00B659E2" w:rsidRDefault="003D04DA" w:rsidP="003D04DA">
            <w:pPr>
              <w:rPr>
                <w:rFonts w:asciiTheme="minorHAnsi" w:hAnsiTheme="minorHAnsi" w:cstheme="minorHAnsi"/>
                <w:b/>
                <w:lang w:val="en-GB"/>
              </w:rPr>
            </w:pPr>
            <w:r w:rsidRPr="00B659E2">
              <w:rPr>
                <w:rFonts w:asciiTheme="minorHAnsi" w:hAnsiTheme="minorHAnsi" w:cstheme="minorHAnsi"/>
                <w:b/>
                <w:lang w:val="en-GB"/>
              </w:rPr>
              <w:t>Project No.</w:t>
            </w:r>
          </w:p>
        </w:tc>
      </w:tr>
    </w:tbl>
    <w:p w14:paraId="27EBE089" w14:textId="1657FB9B" w:rsidR="00E660F2" w:rsidRPr="00B659E2" w:rsidRDefault="00201A72" w:rsidP="004A3EE1">
      <w:pPr>
        <w:pStyle w:val="Rubrik1"/>
        <w:tabs>
          <w:tab w:val="left" w:pos="426"/>
        </w:tabs>
        <w:spacing w:before="360" w:after="120"/>
        <w:rPr>
          <w:rFonts w:asciiTheme="minorHAnsi" w:hAnsiTheme="minorHAnsi" w:cstheme="minorHAnsi"/>
          <w:sz w:val="28"/>
          <w:szCs w:val="28"/>
          <w:lang w:val="en-GB"/>
        </w:rPr>
      </w:pPr>
      <w:r w:rsidRPr="00B659E2">
        <w:rPr>
          <w:rFonts w:asciiTheme="minorHAnsi" w:hAnsiTheme="minorHAnsi" w:cstheme="minorHAnsi"/>
          <w:sz w:val="28"/>
          <w:szCs w:val="28"/>
          <w:lang w:val="en-GB"/>
        </w:rPr>
        <w:t>Background</w:t>
      </w:r>
    </w:p>
    <w:p w14:paraId="0E10BD17" w14:textId="557963DC" w:rsidR="00F15AAE" w:rsidRPr="00B659E2" w:rsidRDefault="00F15AAE" w:rsidP="00F15AAE">
      <w:pPr>
        <w:jc w:val="both"/>
        <w:rPr>
          <w:rFonts w:cstheme="minorHAnsi"/>
          <w:lang w:val="en-GB"/>
        </w:rPr>
      </w:pPr>
      <w:r w:rsidRPr="00B659E2">
        <w:rPr>
          <w:rFonts w:cstheme="minorHAnsi"/>
          <w:lang w:val="en-GB"/>
        </w:rPr>
        <w:t xml:space="preserve">Strategic Support Function (SSF) project is </w:t>
      </w:r>
      <w:r w:rsidR="00183B70" w:rsidRPr="00B659E2">
        <w:rPr>
          <w:rFonts w:cstheme="minorHAnsi"/>
          <w:lang w:val="en-GB"/>
        </w:rPr>
        <w:t xml:space="preserve">focused </w:t>
      </w:r>
      <w:r w:rsidRPr="00B659E2">
        <w:rPr>
          <w:rFonts w:cstheme="minorHAnsi"/>
          <w:lang w:val="en-GB"/>
        </w:rPr>
        <w:t xml:space="preserve">to build </w:t>
      </w:r>
      <w:r w:rsidR="00183B70" w:rsidRPr="00B659E2">
        <w:rPr>
          <w:rFonts w:cstheme="minorHAnsi"/>
          <w:lang w:val="en-GB"/>
        </w:rPr>
        <w:t xml:space="preserve">the </w:t>
      </w:r>
      <w:r w:rsidRPr="00B659E2">
        <w:rPr>
          <w:rFonts w:cstheme="minorHAnsi"/>
          <w:lang w:val="en-GB"/>
        </w:rPr>
        <w:t xml:space="preserve">internal capacity, strengthen the </w:t>
      </w:r>
      <w:r w:rsidR="00051312" w:rsidRPr="00B659E2">
        <w:rPr>
          <w:rFonts w:cstheme="minorHAnsi"/>
          <w:lang w:val="en-GB"/>
        </w:rPr>
        <w:t xml:space="preserve">organizational </w:t>
      </w:r>
      <w:r w:rsidRPr="00B659E2">
        <w:rPr>
          <w:rFonts w:cstheme="minorHAnsi"/>
          <w:lang w:val="en-GB"/>
        </w:rPr>
        <w:t xml:space="preserve">system and support in change process of UMN. This project has been implementing </w:t>
      </w:r>
      <w:r w:rsidR="00201A72" w:rsidRPr="00B659E2">
        <w:rPr>
          <w:rFonts w:cstheme="minorHAnsi"/>
          <w:lang w:val="en-GB"/>
        </w:rPr>
        <w:t xml:space="preserve">from </w:t>
      </w:r>
      <w:r w:rsidRPr="00B659E2">
        <w:rPr>
          <w:rFonts w:cstheme="minorHAnsi"/>
          <w:lang w:val="en-GB"/>
        </w:rPr>
        <w:t xml:space="preserve">2018 in financial support of PMU and Swedish Mission Council (SMC). First phase of the project was successfully completed by the end of 2019 as a pilot project that way forwarded for second phase. From 2020, UMN has been implementing its II phase project based on the learning of previous phase.  Main objective of this project is to </w:t>
      </w:r>
      <w:r w:rsidR="00051312" w:rsidRPr="00B659E2">
        <w:rPr>
          <w:rFonts w:cstheme="minorHAnsi"/>
          <w:lang w:val="en-GB"/>
        </w:rPr>
        <w:t xml:space="preserve">facilitate UMN to </w:t>
      </w:r>
      <w:r w:rsidRPr="00B659E2">
        <w:rPr>
          <w:rFonts w:cstheme="minorHAnsi"/>
          <w:lang w:val="en-GB"/>
        </w:rPr>
        <w:t xml:space="preserve">bring changes in </w:t>
      </w:r>
      <w:r w:rsidR="00051312" w:rsidRPr="00B659E2">
        <w:rPr>
          <w:rFonts w:cstheme="minorHAnsi"/>
          <w:lang w:val="en-GB"/>
        </w:rPr>
        <w:t xml:space="preserve">its </w:t>
      </w:r>
      <w:r w:rsidRPr="00B659E2">
        <w:rPr>
          <w:rFonts w:cstheme="minorHAnsi"/>
          <w:lang w:val="en-GB"/>
        </w:rPr>
        <w:t xml:space="preserve">policies, </w:t>
      </w:r>
      <w:r w:rsidR="00183B70" w:rsidRPr="00B659E2">
        <w:rPr>
          <w:rFonts w:cstheme="minorHAnsi"/>
          <w:lang w:val="en-GB"/>
        </w:rPr>
        <w:t>system</w:t>
      </w:r>
      <w:r w:rsidRPr="00B659E2">
        <w:rPr>
          <w:rFonts w:cstheme="minorHAnsi"/>
          <w:lang w:val="en-GB"/>
        </w:rPr>
        <w:t xml:space="preserve"> and relationship. It also intends to bring changes in behaviour, attitude, </w:t>
      </w:r>
      <w:r w:rsidR="00183B70" w:rsidRPr="00B659E2">
        <w:rPr>
          <w:rFonts w:cstheme="minorHAnsi"/>
          <w:lang w:val="en-GB"/>
        </w:rPr>
        <w:t>skills,</w:t>
      </w:r>
      <w:r w:rsidRPr="00B659E2">
        <w:rPr>
          <w:rFonts w:cstheme="minorHAnsi"/>
          <w:lang w:val="en-GB"/>
        </w:rPr>
        <w:t xml:space="preserve"> and knowledge of staff members </w:t>
      </w:r>
      <w:r w:rsidR="00183B70" w:rsidRPr="00B659E2">
        <w:rPr>
          <w:rFonts w:cstheme="minorHAnsi"/>
          <w:lang w:val="en-GB"/>
        </w:rPr>
        <w:t xml:space="preserve">through different training and capacity building interventions </w:t>
      </w:r>
      <w:r w:rsidRPr="00B659E2">
        <w:rPr>
          <w:rFonts w:cstheme="minorHAnsi"/>
          <w:lang w:val="en-GB"/>
        </w:rPr>
        <w:t xml:space="preserve">so that they could be able to facilitate the </w:t>
      </w:r>
      <w:r w:rsidR="00201A72" w:rsidRPr="00B659E2">
        <w:rPr>
          <w:rFonts w:cstheme="minorHAnsi"/>
          <w:lang w:val="en-GB"/>
        </w:rPr>
        <w:t>implementing partner</w:t>
      </w:r>
      <w:r w:rsidRPr="00B659E2">
        <w:rPr>
          <w:rFonts w:cstheme="minorHAnsi"/>
          <w:lang w:val="en-GB"/>
        </w:rPr>
        <w:t xml:space="preserve"> organization</w:t>
      </w:r>
      <w:r w:rsidR="00201A72" w:rsidRPr="00B659E2">
        <w:rPr>
          <w:rFonts w:cstheme="minorHAnsi"/>
          <w:lang w:val="en-GB"/>
        </w:rPr>
        <w:t>s</w:t>
      </w:r>
      <w:r w:rsidRPr="00B659E2">
        <w:rPr>
          <w:rFonts w:cstheme="minorHAnsi"/>
          <w:lang w:val="en-GB"/>
        </w:rPr>
        <w:t xml:space="preserve"> </w:t>
      </w:r>
      <w:r w:rsidR="00E06C8C" w:rsidRPr="00B659E2">
        <w:rPr>
          <w:rFonts w:cstheme="minorHAnsi"/>
          <w:lang w:val="en-GB"/>
        </w:rPr>
        <w:t>to</w:t>
      </w:r>
      <w:r w:rsidRPr="00B659E2">
        <w:rPr>
          <w:rFonts w:cstheme="minorHAnsi"/>
          <w:lang w:val="en-GB"/>
        </w:rPr>
        <w:t xml:space="preserve"> better serve</w:t>
      </w:r>
      <w:r w:rsidR="00201A72" w:rsidRPr="00B659E2">
        <w:rPr>
          <w:rFonts w:cstheme="minorHAnsi"/>
          <w:lang w:val="en-GB"/>
        </w:rPr>
        <w:t xml:space="preserve"> for community transformation. </w:t>
      </w:r>
    </w:p>
    <w:p w14:paraId="3720F633" w14:textId="15218AA5" w:rsidR="00DF3A8F" w:rsidRPr="00B659E2" w:rsidRDefault="00DF3A8F" w:rsidP="004A3EE1">
      <w:pPr>
        <w:pStyle w:val="Rubrik1"/>
        <w:tabs>
          <w:tab w:val="left" w:pos="426"/>
        </w:tabs>
        <w:spacing w:before="360" w:after="120"/>
        <w:rPr>
          <w:rFonts w:asciiTheme="minorHAnsi" w:hAnsiTheme="minorHAnsi" w:cstheme="minorHAnsi"/>
          <w:sz w:val="28"/>
          <w:szCs w:val="28"/>
          <w:lang w:val="en-GB"/>
        </w:rPr>
      </w:pPr>
      <w:r w:rsidRPr="00B659E2">
        <w:rPr>
          <w:rFonts w:asciiTheme="minorHAnsi" w:hAnsiTheme="minorHAnsi" w:cstheme="minorHAnsi"/>
          <w:sz w:val="28"/>
          <w:szCs w:val="28"/>
          <w:lang w:val="en-GB"/>
        </w:rPr>
        <w:t>Overall Objective</w:t>
      </w:r>
      <w:r w:rsidR="003D04DA" w:rsidRPr="00B659E2">
        <w:rPr>
          <w:rFonts w:asciiTheme="minorHAnsi" w:hAnsiTheme="minorHAnsi" w:cstheme="minorHAnsi"/>
          <w:sz w:val="28"/>
          <w:szCs w:val="28"/>
          <w:lang w:val="en-GB"/>
        </w:rPr>
        <w:t xml:space="preserve"> </w:t>
      </w:r>
      <w:r w:rsidR="00201A72" w:rsidRPr="00B659E2">
        <w:rPr>
          <w:rFonts w:asciiTheme="minorHAnsi" w:hAnsiTheme="minorHAnsi" w:cstheme="minorHAnsi"/>
          <w:sz w:val="28"/>
          <w:szCs w:val="28"/>
          <w:lang w:val="en-GB"/>
        </w:rPr>
        <w:t>of</w:t>
      </w:r>
      <w:r w:rsidR="003D04DA" w:rsidRPr="00B659E2">
        <w:rPr>
          <w:rFonts w:asciiTheme="minorHAnsi" w:hAnsiTheme="minorHAnsi" w:cstheme="minorHAnsi"/>
          <w:sz w:val="28"/>
          <w:szCs w:val="28"/>
          <w:lang w:val="en-GB"/>
        </w:rPr>
        <w:t xml:space="preserve"> the Project</w:t>
      </w:r>
    </w:p>
    <w:p w14:paraId="716ACC07" w14:textId="684ABE85" w:rsidR="00211AD0" w:rsidRPr="00B659E2" w:rsidRDefault="00DF3A8F">
      <w:pPr>
        <w:rPr>
          <w:rFonts w:cstheme="minorHAnsi"/>
          <w:lang w:val="en-GB"/>
        </w:rPr>
      </w:pPr>
      <w:r w:rsidRPr="00B659E2">
        <w:rPr>
          <w:rFonts w:cstheme="minorHAnsi"/>
          <w:lang w:val="en-GB"/>
        </w:rPr>
        <w:t xml:space="preserve">The overall objective of this support function will be </w:t>
      </w:r>
      <w:r w:rsidR="001A0E6D" w:rsidRPr="00B659E2">
        <w:rPr>
          <w:rFonts w:cstheme="minorHAnsi"/>
          <w:lang w:val="en-GB"/>
        </w:rPr>
        <w:t xml:space="preserve">‘to institutionalise systems and processes led by the change process in UMN by enhancing capacity of staff and partner organisations to ensure right holders’ voice, </w:t>
      </w:r>
      <w:r w:rsidR="00E06C8C" w:rsidRPr="00B659E2">
        <w:rPr>
          <w:rFonts w:cstheme="minorHAnsi"/>
          <w:lang w:val="en-GB"/>
        </w:rPr>
        <w:t>choice,</w:t>
      </w:r>
      <w:r w:rsidR="001A0E6D" w:rsidRPr="00B659E2">
        <w:rPr>
          <w:rFonts w:cstheme="minorHAnsi"/>
          <w:lang w:val="en-GB"/>
        </w:rPr>
        <w:t xml:space="preserve"> and participation in all development endeavors’.</w:t>
      </w:r>
    </w:p>
    <w:p w14:paraId="793001CF" w14:textId="77777777" w:rsidR="004A3EE1" w:rsidRPr="00B659E2" w:rsidRDefault="001A0E6D" w:rsidP="004A3EE1">
      <w:pPr>
        <w:pStyle w:val="Rubrik1"/>
        <w:tabs>
          <w:tab w:val="left" w:pos="426"/>
        </w:tabs>
        <w:spacing w:before="360" w:after="120"/>
        <w:rPr>
          <w:rFonts w:asciiTheme="minorHAnsi" w:hAnsiTheme="minorHAnsi" w:cstheme="minorHAnsi"/>
          <w:sz w:val="28"/>
          <w:szCs w:val="28"/>
          <w:lang w:val="en-GB"/>
        </w:rPr>
      </w:pPr>
      <w:r w:rsidRPr="00B659E2">
        <w:rPr>
          <w:rFonts w:asciiTheme="minorHAnsi" w:hAnsiTheme="minorHAnsi" w:cstheme="minorHAnsi"/>
          <w:sz w:val="28"/>
          <w:szCs w:val="28"/>
          <w:lang w:val="en-GB"/>
        </w:rPr>
        <w:t xml:space="preserve">Expected </w:t>
      </w:r>
      <w:r w:rsidR="00201A72" w:rsidRPr="00B659E2">
        <w:rPr>
          <w:rFonts w:asciiTheme="minorHAnsi" w:hAnsiTheme="minorHAnsi" w:cstheme="minorHAnsi"/>
          <w:sz w:val="28"/>
          <w:szCs w:val="28"/>
          <w:lang w:val="en-GB"/>
        </w:rPr>
        <w:t>r</w:t>
      </w:r>
      <w:r w:rsidRPr="00B659E2">
        <w:rPr>
          <w:rFonts w:asciiTheme="minorHAnsi" w:hAnsiTheme="minorHAnsi" w:cstheme="minorHAnsi"/>
          <w:sz w:val="28"/>
          <w:szCs w:val="28"/>
          <w:lang w:val="en-GB"/>
        </w:rPr>
        <w:t>esults</w:t>
      </w:r>
      <w:r w:rsidR="00105A0C" w:rsidRPr="00B659E2">
        <w:rPr>
          <w:rFonts w:asciiTheme="minorHAnsi" w:hAnsiTheme="minorHAnsi" w:cstheme="minorHAnsi"/>
          <w:sz w:val="28"/>
          <w:szCs w:val="28"/>
          <w:lang w:val="en-GB"/>
        </w:rPr>
        <w:t xml:space="preserve">: </w:t>
      </w:r>
    </w:p>
    <w:p w14:paraId="7089DC0C" w14:textId="64ECB961" w:rsidR="001A0E6D" w:rsidRPr="00B659E2" w:rsidRDefault="00105A0C">
      <w:pPr>
        <w:rPr>
          <w:rFonts w:cstheme="minorHAnsi"/>
          <w:b/>
          <w:bCs/>
          <w:u w:val="single"/>
          <w:lang w:val="en-GB"/>
        </w:rPr>
      </w:pPr>
      <w:r w:rsidRPr="00B659E2">
        <w:rPr>
          <w:rFonts w:cstheme="minorHAnsi"/>
          <w:lang w:val="en-GB"/>
        </w:rPr>
        <w:t xml:space="preserve">Below are the area wise </w:t>
      </w:r>
      <w:r w:rsidR="004A3EE1" w:rsidRPr="00B659E2">
        <w:rPr>
          <w:rFonts w:cstheme="minorHAnsi"/>
          <w:lang w:val="en-GB"/>
        </w:rPr>
        <w:t>expected results that UMN has defined in its proposal</w:t>
      </w:r>
      <w:r w:rsidR="00AE5D2F" w:rsidRPr="00B659E2">
        <w:rPr>
          <w:rFonts w:cstheme="minorHAnsi"/>
          <w:lang w:val="en-GB"/>
        </w:rPr>
        <w:t xml:space="preserve"> and intends to achieve </w:t>
      </w:r>
      <w:r w:rsidR="009A24B9" w:rsidRPr="00B659E2">
        <w:rPr>
          <w:rFonts w:cstheme="minorHAnsi"/>
          <w:lang w:val="en-GB"/>
        </w:rPr>
        <w:t xml:space="preserve">through </w:t>
      </w:r>
      <w:r w:rsidR="00AE5D2F" w:rsidRPr="00B659E2">
        <w:rPr>
          <w:rFonts w:cstheme="minorHAnsi"/>
          <w:lang w:val="en-GB"/>
        </w:rPr>
        <w:t>this project</w:t>
      </w:r>
      <w:r w:rsidR="004A3EE1" w:rsidRPr="00B659E2">
        <w:rPr>
          <w:rFonts w:cstheme="minorHAnsi"/>
          <w:lang w:val="en-GB"/>
        </w:rPr>
        <w:t>.</w:t>
      </w:r>
    </w:p>
    <w:p w14:paraId="3CE91B76" w14:textId="7C6930D3" w:rsidR="006F0EA6" w:rsidRPr="00B659E2" w:rsidRDefault="006F0EA6" w:rsidP="00E06C8C">
      <w:pPr>
        <w:pStyle w:val="Rubrik4"/>
        <w:numPr>
          <w:ilvl w:val="0"/>
          <w:numId w:val="8"/>
        </w:numPr>
        <w:tabs>
          <w:tab w:val="left" w:pos="426"/>
        </w:tabs>
        <w:spacing w:before="200" w:line="240" w:lineRule="auto"/>
        <w:ind w:hanging="720"/>
        <w:rPr>
          <w:rFonts w:asciiTheme="minorHAnsi" w:hAnsiTheme="minorHAnsi" w:cstheme="minorHAnsi"/>
          <w:b/>
          <w:bCs/>
          <w:i w:val="0"/>
          <w:iCs w:val="0"/>
          <w:color w:val="4472C4" w:themeColor="accent1"/>
          <w:szCs w:val="22"/>
          <w:lang w:bidi="ar-SA"/>
        </w:rPr>
      </w:pPr>
      <w:r w:rsidRPr="00B659E2">
        <w:rPr>
          <w:rFonts w:asciiTheme="minorHAnsi" w:hAnsiTheme="minorHAnsi" w:cstheme="minorHAnsi"/>
          <w:b/>
          <w:bCs/>
          <w:i w:val="0"/>
          <w:iCs w:val="0"/>
          <w:color w:val="4472C4" w:themeColor="accent1"/>
          <w:szCs w:val="22"/>
          <w:lang w:bidi="ar-SA"/>
        </w:rPr>
        <w:t>Coordination and PME&amp;R of development projects</w:t>
      </w:r>
    </w:p>
    <w:p w14:paraId="001FEBEF" w14:textId="239FF664" w:rsidR="005A72D4" w:rsidRPr="00B659E2" w:rsidRDefault="005A72D4" w:rsidP="00E660F2">
      <w:pPr>
        <w:pStyle w:val="Liststycke"/>
        <w:numPr>
          <w:ilvl w:val="0"/>
          <w:numId w:val="5"/>
        </w:numPr>
        <w:spacing w:after="0"/>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All programme team members have increased their knowledge and capacity on ‘outcome mapping’.</w:t>
      </w:r>
    </w:p>
    <w:p w14:paraId="24CFDA72" w14:textId="0DDAAA3A" w:rsidR="005A72D4" w:rsidRPr="00B659E2" w:rsidRDefault="005A72D4" w:rsidP="00E660F2">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UMN’s ongoing change process is embedded into 2020-25 strategy plan and cluster strategies</w:t>
      </w:r>
      <w:r w:rsidR="00105A0C" w:rsidRPr="00B659E2">
        <w:rPr>
          <w:rFonts w:asciiTheme="minorHAnsi" w:eastAsiaTheme="minorHAnsi" w:hAnsiTheme="minorHAnsi" w:cstheme="minorHAnsi"/>
          <w:szCs w:val="20"/>
          <w:lang w:val="en-GB" w:eastAsia="en-US" w:bidi="ne-NP"/>
        </w:rPr>
        <w:t>.</w:t>
      </w:r>
    </w:p>
    <w:p w14:paraId="10B2DC36" w14:textId="3D5D4ACA" w:rsidR="006F0EA6" w:rsidRPr="00B659E2" w:rsidRDefault="006F0EA6" w:rsidP="00E06C8C">
      <w:pPr>
        <w:pStyle w:val="Rubrik4"/>
        <w:numPr>
          <w:ilvl w:val="0"/>
          <w:numId w:val="8"/>
        </w:numPr>
        <w:tabs>
          <w:tab w:val="left" w:pos="426"/>
        </w:tabs>
        <w:spacing w:before="200" w:line="240" w:lineRule="auto"/>
        <w:ind w:hanging="720"/>
        <w:rPr>
          <w:rFonts w:asciiTheme="minorHAnsi" w:hAnsiTheme="minorHAnsi" w:cstheme="minorHAnsi"/>
          <w:b/>
          <w:bCs/>
          <w:i w:val="0"/>
          <w:iCs w:val="0"/>
          <w:color w:val="4472C4" w:themeColor="accent1"/>
          <w:szCs w:val="22"/>
          <w:lang w:bidi="ar-SA"/>
        </w:rPr>
      </w:pPr>
      <w:r w:rsidRPr="00B659E2">
        <w:rPr>
          <w:rFonts w:asciiTheme="minorHAnsi" w:hAnsiTheme="minorHAnsi" w:cstheme="minorHAnsi"/>
          <w:b/>
          <w:bCs/>
          <w:i w:val="0"/>
          <w:iCs w:val="0"/>
          <w:color w:val="4472C4" w:themeColor="accent1"/>
          <w:szCs w:val="22"/>
          <w:lang w:bidi="ar-SA"/>
        </w:rPr>
        <w:lastRenderedPageBreak/>
        <w:t>Strategic work and policy development</w:t>
      </w:r>
    </w:p>
    <w:p w14:paraId="54FC1424" w14:textId="6CB13983" w:rsidR="005A72D4" w:rsidRPr="00B659E2" w:rsidRDefault="005A72D4" w:rsidP="00E06C8C">
      <w:pPr>
        <w:pStyle w:val="Liststycke"/>
        <w:numPr>
          <w:ilvl w:val="0"/>
          <w:numId w:val="5"/>
        </w:numPr>
        <w:spacing w:after="0"/>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UMN thematic technical teams have initiated excelling interventions to focus on areas of technical excellence;</w:t>
      </w:r>
    </w:p>
    <w:p w14:paraId="020148B0" w14:textId="153C445E" w:rsidR="006F0EA6" w:rsidRPr="00B659E2" w:rsidRDefault="006F0EA6" w:rsidP="00E06C8C">
      <w:pPr>
        <w:pStyle w:val="Liststycke"/>
        <w:numPr>
          <w:ilvl w:val="0"/>
          <w:numId w:val="5"/>
        </w:numPr>
        <w:spacing w:after="0"/>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UMN’s ongoing change process is embedded into 2020-25 strategy plan and cluster strategies</w:t>
      </w:r>
      <w:r w:rsidR="00105A0C" w:rsidRPr="00B659E2">
        <w:rPr>
          <w:rFonts w:asciiTheme="minorHAnsi" w:eastAsiaTheme="minorHAnsi" w:hAnsiTheme="minorHAnsi" w:cstheme="minorHAnsi"/>
          <w:szCs w:val="20"/>
          <w:lang w:val="en-GB" w:eastAsia="en-US" w:bidi="ne-NP"/>
        </w:rPr>
        <w:t>.</w:t>
      </w:r>
    </w:p>
    <w:p w14:paraId="65F84F26" w14:textId="4A2D9646" w:rsidR="006F0EA6" w:rsidRPr="00B659E2" w:rsidRDefault="006F0EA6" w:rsidP="00E06C8C">
      <w:pPr>
        <w:pStyle w:val="Liststycke"/>
        <w:numPr>
          <w:ilvl w:val="0"/>
          <w:numId w:val="5"/>
        </w:numPr>
        <w:spacing w:after="0"/>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UMN technical teams have developed technical expertise to work on the community prioritised / appealing needs.</w:t>
      </w:r>
    </w:p>
    <w:p w14:paraId="51EAD245" w14:textId="77777777" w:rsidR="00105A0C" w:rsidRPr="00B659E2" w:rsidRDefault="00105A0C" w:rsidP="00E06C8C">
      <w:pPr>
        <w:spacing w:after="0"/>
        <w:rPr>
          <w:rFonts w:cstheme="minorHAnsi"/>
          <w:lang w:val="en-GB"/>
        </w:rPr>
      </w:pPr>
    </w:p>
    <w:p w14:paraId="1CCFC7CA" w14:textId="01069B03" w:rsidR="006F0EA6" w:rsidRPr="00B659E2" w:rsidRDefault="00FB4E15" w:rsidP="00E06C8C">
      <w:pPr>
        <w:pStyle w:val="Rubrik4"/>
        <w:numPr>
          <w:ilvl w:val="0"/>
          <w:numId w:val="8"/>
        </w:numPr>
        <w:tabs>
          <w:tab w:val="left" w:pos="426"/>
        </w:tabs>
        <w:spacing w:before="200" w:line="240" w:lineRule="auto"/>
        <w:ind w:hanging="720"/>
        <w:rPr>
          <w:rFonts w:asciiTheme="minorHAnsi" w:hAnsiTheme="minorHAnsi" w:cstheme="minorHAnsi"/>
          <w:b/>
          <w:bCs/>
          <w:i w:val="0"/>
          <w:iCs w:val="0"/>
          <w:color w:val="4472C4" w:themeColor="accent1"/>
          <w:szCs w:val="22"/>
          <w:lang w:bidi="ar-SA"/>
        </w:rPr>
      </w:pPr>
      <w:r w:rsidRPr="00B659E2">
        <w:rPr>
          <w:rFonts w:asciiTheme="minorHAnsi" w:hAnsiTheme="minorHAnsi" w:cstheme="minorHAnsi"/>
          <w:b/>
          <w:bCs/>
          <w:i w:val="0"/>
          <w:iCs w:val="0"/>
          <w:color w:val="4472C4" w:themeColor="accent1"/>
          <w:szCs w:val="22"/>
          <w:lang w:bidi="ar-SA"/>
        </w:rPr>
        <w:t>Human Resources/Staff Competency</w:t>
      </w:r>
    </w:p>
    <w:p w14:paraId="3579D55E" w14:textId="0F3372E9" w:rsidR="00FB4E15" w:rsidRPr="00B659E2" w:rsidRDefault="00FB4E15" w:rsidP="00FB4E15">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Staff competency is increased to address ascended need from the change process in UMN and structural changes in the country</w:t>
      </w:r>
      <w:r w:rsidR="00105A0C" w:rsidRPr="00B659E2">
        <w:rPr>
          <w:rFonts w:asciiTheme="minorHAnsi" w:eastAsiaTheme="minorHAnsi" w:hAnsiTheme="minorHAnsi" w:cstheme="minorHAnsi"/>
          <w:szCs w:val="20"/>
          <w:lang w:val="en-GB" w:eastAsia="en-US" w:bidi="ne-NP"/>
        </w:rPr>
        <w:t>.</w:t>
      </w:r>
    </w:p>
    <w:p w14:paraId="30384AA2" w14:textId="3C00CE0E" w:rsidR="00FB4E15" w:rsidRPr="00B659E2" w:rsidRDefault="00FB4E15" w:rsidP="00FB4E15">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Cluster teams have improved competencies around programme development and design, as well as capacity to train partner NGOs in these areas</w:t>
      </w:r>
      <w:r w:rsidR="00105A0C" w:rsidRPr="00B659E2">
        <w:rPr>
          <w:rFonts w:asciiTheme="minorHAnsi" w:eastAsiaTheme="minorHAnsi" w:hAnsiTheme="minorHAnsi" w:cstheme="minorHAnsi"/>
          <w:szCs w:val="20"/>
          <w:lang w:val="en-GB" w:eastAsia="en-US" w:bidi="ne-NP"/>
        </w:rPr>
        <w:t>.</w:t>
      </w:r>
    </w:p>
    <w:p w14:paraId="757570EB" w14:textId="052CA144" w:rsidR="00FB4E15" w:rsidRPr="00B659E2" w:rsidRDefault="00FB4E15" w:rsidP="00FB4E15">
      <w:pPr>
        <w:pStyle w:val="Liststycke"/>
        <w:numPr>
          <w:ilvl w:val="0"/>
          <w:numId w:val="5"/>
        </w:numPr>
        <w:rPr>
          <w:rFonts w:asciiTheme="minorHAnsi" w:eastAsiaTheme="minorHAnsi" w:hAnsiTheme="minorHAnsi" w:cstheme="minorHAnsi"/>
          <w:sz w:val="24"/>
          <w:szCs w:val="22"/>
          <w:lang w:val="en-GB" w:eastAsia="en-US" w:bidi="ne-NP"/>
        </w:rPr>
      </w:pPr>
      <w:r w:rsidRPr="00B659E2">
        <w:rPr>
          <w:rFonts w:asciiTheme="minorHAnsi" w:eastAsiaTheme="minorHAnsi" w:hAnsiTheme="minorHAnsi" w:cstheme="minorHAnsi"/>
          <w:szCs w:val="20"/>
          <w:lang w:val="en-GB" w:eastAsia="en-US" w:bidi="ne-NP"/>
        </w:rPr>
        <w:t>UMN has updated policies for and utilisation of recruitment, managing performance and learning</w:t>
      </w:r>
      <w:r w:rsidR="00105A0C" w:rsidRPr="00B659E2">
        <w:rPr>
          <w:rFonts w:asciiTheme="minorHAnsi" w:eastAsiaTheme="minorHAnsi" w:hAnsiTheme="minorHAnsi" w:cstheme="minorHAnsi"/>
          <w:szCs w:val="20"/>
          <w:lang w:val="en-GB" w:eastAsia="en-US" w:bidi="ne-NP"/>
        </w:rPr>
        <w:t>.</w:t>
      </w:r>
    </w:p>
    <w:p w14:paraId="40C75851" w14:textId="51F4ECA5" w:rsidR="00FB4E15" w:rsidRPr="00B659E2" w:rsidRDefault="00FB4E15" w:rsidP="00E06C8C">
      <w:pPr>
        <w:pStyle w:val="Liststycke"/>
        <w:spacing w:after="0"/>
        <w:ind w:left="360"/>
        <w:rPr>
          <w:rFonts w:asciiTheme="minorHAnsi" w:hAnsiTheme="minorHAnsi" w:cstheme="minorHAnsi"/>
          <w:szCs w:val="22"/>
        </w:rPr>
      </w:pPr>
    </w:p>
    <w:p w14:paraId="3C2763A3" w14:textId="2BB475EF" w:rsidR="00FB4E15" w:rsidRPr="00B659E2" w:rsidRDefault="00FB4E15" w:rsidP="00E06C8C">
      <w:pPr>
        <w:pStyle w:val="Rubrik4"/>
        <w:numPr>
          <w:ilvl w:val="0"/>
          <w:numId w:val="8"/>
        </w:numPr>
        <w:tabs>
          <w:tab w:val="left" w:pos="426"/>
        </w:tabs>
        <w:spacing w:before="200" w:line="240" w:lineRule="auto"/>
        <w:ind w:hanging="720"/>
        <w:rPr>
          <w:rFonts w:asciiTheme="minorHAnsi" w:hAnsiTheme="minorHAnsi" w:cstheme="minorHAnsi"/>
          <w:b/>
          <w:bCs/>
          <w:i w:val="0"/>
          <w:iCs w:val="0"/>
          <w:color w:val="4472C4" w:themeColor="accent1"/>
          <w:szCs w:val="22"/>
          <w:lang w:bidi="ar-SA"/>
        </w:rPr>
      </w:pPr>
      <w:proofErr w:type="spellStart"/>
      <w:r w:rsidRPr="00B659E2">
        <w:rPr>
          <w:rFonts w:asciiTheme="minorHAnsi" w:hAnsiTheme="minorHAnsi" w:cstheme="minorHAnsi"/>
          <w:b/>
          <w:bCs/>
          <w:i w:val="0"/>
          <w:iCs w:val="0"/>
          <w:color w:val="4472C4" w:themeColor="accent1"/>
          <w:szCs w:val="22"/>
          <w:lang w:bidi="ar-SA"/>
        </w:rPr>
        <w:t>Organisational</w:t>
      </w:r>
      <w:proofErr w:type="spellEnd"/>
      <w:r w:rsidRPr="00B659E2">
        <w:rPr>
          <w:rFonts w:asciiTheme="minorHAnsi" w:hAnsiTheme="minorHAnsi" w:cstheme="minorHAnsi"/>
          <w:b/>
          <w:bCs/>
          <w:i w:val="0"/>
          <w:iCs w:val="0"/>
          <w:color w:val="4472C4" w:themeColor="accent1"/>
          <w:szCs w:val="22"/>
          <w:lang w:bidi="ar-SA"/>
        </w:rPr>
        <w:t xml:space="preserve"> development and Structural changes</w:t>
      </w:r>
    </w:p>
    <w:p w14:paraId="1AC691A2" w14:textId="243ABAAB" w:rsidR="00FB4E15" w:rsidRPr="00B659E2" w:rsidRDefault="00FB4E15" w:rsidP="00FB4E15">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Enhanced understanding on and practice of transparency in decisions taken at beneficiaries’ level during project cycle (need identification to learning sharing of the intervention)</w:t>
      </w:r>
      <w:r w:rsidR="00105A0C" w:rsidRPr="00B659E2">
        <w:rPr>
          <w:rFonts w:asciiTheme="minorHAnsi" w:eastAsiaTheme="minorHAnsi" w:hAnsiTheme="minorHAnsi" w:cstheme="minorHAnsi"/>
          <w:szCs w:val="20"/>
          <w:lang w:val="en-GB" w:eastAsia="en-US" w:bidi="ne-NP"/>
        </w:rPr>
        <w:t>.</w:t>
      </w:r>
    </w:p>
    <w:p w14:paraId="4ECDB351" w14:textId="4FE8E7EA" w:rsidR="00FB4E15" w:rsidRPr="00B659E2" w:rsidRDefault="00FB4E15" w:rsidP="00FB4E15">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UMN staff and partner organisations are aware on and increased utilisation of policies regarding accountability and transparency</w:t>
      </w:r>
      <w:r w:rsidR="00105A0C" w:rsidRPr="00B659E2">
        <w:rPr>
          <w:rFonts w:asciiTheme="minorHAnsi" w:eastAsiaTheme="minorHAnsi" w:hAnsiTheme="minorHAnsi" w:cstheme="minorHAnsi"/>
          <w:szCs w:val="20"/>
          <w:lang w:val="en-GB" w:eastAsia="en-US" w:bidi="ne-NP"/>
        </w:rPr>
        <w:t>.</w:t>
      </w:r>
    </w:p>
    <w:p w14:paraId="451D103D" w14:textId="41632555" w:rsidR="00FB4E15" w:rsidRPr="00B659E2" w:rsidRDefault="00FB4E15" w:rsidP="00FB4E15">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UMN staff are innovative in concept development and are utilising lessons properly.</w:t>
      </w:r>
    </w:p>
    <w:p w14:paraId="31CBDAD9" w14:textId="77777777" w:rsidR="00FB4E15" w:rsidRPr="00B659E2" w:rsidRDefault="00FB4E15" w:rsidP="00E06C8C">
      <w:pPr>
        <w:pStyle w:val="Liststycke"/>
        <w:spacing w:after="0"/>
        <w:ind w:left="360"/>
        <w:rPr>
          <w:rFonts w:asciiTheme="minorHAnsi" w:hAnsiTheme="minorHAnsi" w:cstheme="minorHAnsi"/>
          <w:szCs w:val="22"/>
        </w:rPr>
      </w:pPr>
    </w:p>
    <w:p w14:paraId="139C03D3" w14:textId="66F0752B" w:rsidR="00FB4E15" w:rsidRPr="00B659E2" w:rsidRDefault="00FB4E15" w:rsidP="00E06C8C">
      <w:pPr>
        <w:pStyle w:val="Rubrik4"/>
        <w:numPr>
          <w:ilvl w:val="0"/>
          <w:numId w:val="8"/>
        </w:numPr>
        <w:tabs>
          <w:tab w:val="left" w:pos="426"/>
        </w:tabs>
        <w:spacing w:before="200" w:line="240" w:lineRule="auto"/>
        <w:ind w:hanging="720"/>
        <w:rPr>
          <w:rFonts w:asciiTheme="minorHAnsi" w:hAnsiTheme="minorHAnsi" w:cstheme="minorHAnsi"/>
          <w:b/>
          <w:bCs/>
          <w:i w:val="0"/>
          <w:iCs w:val="0"/>
          <w:color w:val="4472C4" w:themeColor="accent1"/>
          <w:szCs w:val="22"/>
          <w:lang w:bidi="ar-SA"/>
        </w:rPr>
      </w:pPr>
      <w:r w:rsidRPr="00B659E2">
        <w:rPr>
          <w:rFonts w:asciiTheme="minorHAnsi" w:hAnsiTheme="minorHAnsi" w:cstheme="minorHAnsi"/>
          <w:b/>
          <w:bCs/>
          <w:i w:val="0"/>
          <w:iCs w:val="0"/>
          <w:color w:val="4472C4" w:themeColor="accent1"/>
          <w:szCs w:val="22"/>
          <w:lang w:bidi="ar-SA"/>
        </w:rPr>
        <w:t>Building resilient communities to response in disaster</w:t>
      </w:r>
    </w:p>
    <w:p w14:paraId="47B542EF" w14:textId="06A4E5CF" w:rsidR="00FB4E15" w:rsidRPr="00B659E2" w:rsidRDefault="00FB4E15" w:rsidP="00FB4E15">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UMN staff and partner staff are prepared and effective in responding humanitarian crisis and building resilient communities to response in disaster.</w:t>
      </w:r>
    </w:p>
    <w:p w14:paraId="7F10F223" w14:textId="77777777" w:rsidR="00105A0C" w:rsidRPr="00B659E2" w:rsidRDefault="00105A0C" w:rsidP="00E06C8C">
      <w:pPr>
        <w:pStyle w:val="Liststycke"/>
        <w:spacing w:after="0"/>
        <w:ind w:left="360"/>
        <w:rPr>
          <w:rFonts w:asciiTheme="minorHAnsi" w:hAnsiTheme="minorHAnsi" w:cstheme="minorHAnsi"/>
          <w:szCs w:val="22"/>
        </w:rPr>
      </w:pPr>
    </w:p>
    <w:p w14:paraId="1F0E367E" w14:textId="0A7FC088" w:rsidR="00FB4E15" w:rsidRPr="00B659E2" w:rsidRDefault="00FB4E15" w:rsidP="00E06C8C">
      <w:pPr>
        <w:pStyle w:val="Rubrik4"/>
        <w:numPr>
          <w:ilvl w:val="0"/>
          <w:numId w:val="8"/>
        </w:numPr>
        <w:tabs>
          <w:tab w:val="left" w:pos="426"/>
        </w:tabs>
        <w:spacing w:before="200" w:line="240" w:lineRule="auto"/>
        <w:ind w:hanging="720"/>
        <w:rPr>
          <w:rFonts w:asciiTheme="minorHAnsi" w:hAnsiTheme="minorHAnsi" w:cstheme="minorHAnsi"/>
          <w:b/>
          <w:bCs/>
          <w:i w:val="0"/>
          <w:iCs w:val="0"/>
          <w:color w:val="4472C4" w:themeColor="accent1"/>
          <w:szCs w:val="22"/>
          <w:lang w:bidi="ar-SA"/>
        </w:rPr>
      </w:pPr>
      <w:r w:rsidRPr="00B659E2">
        <w:rPr>
          <w:rFonts w:asciiTheme="minorHAnsi" w:hAnsiTheme="minorHAnsi" w:cstheme="minorHAnsi"/>
          <w:b/>
          <w:bCs/>
          <w:i w:val="0"/>
          <w:iCs w:val="0"/>
          <w:color w:val="4472C4" w:themeColor="accent1"/>
          <w:szCs w:val="22"/>
          <w:lang w:bidi="ar-SA"/>
        </w:rPr>
        <w:t>Democratic processes, transparent systems, internal accountability and gender balance</w:t>
      </w:r>
    </w:p>
    <w:p w14:paraId="5C576A81" w14:textId="6890BBAB" w:rsidR="00FB4E15" w:rsidRPr="00B659E2" w:rsidRDefault="00FB4E15" w:rsidP="00E06C8C">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UMN staff and partner organisations are aware of and following revised / updated policies related to democratic processes, transparency and accountability</w:t>
      </w:r>
      <w:r w:rsidR="009A24B9" w:rsidRPr="00B659E2">
        <w:rPr>
          <w:rFonts w:asciiTheme="minorHAnsi" w:eastAsiaTheme="minorHAnsi" w:hAnsiTheme="minorHAnsi" w:cstheme="minorHAnsi"/>
          <w:szCs w:val="20"/>
          <w:lang w:val="en-GB" w:eastAsia="en-US" w:bidi="ne-NP"/>
        </w:rPr>
        <w:t>.</w:t>
      </w:r>
    </w:p>
    <w:p w14:paraId="209DC10A" w14:textId="3EE4A44E" w:rsidR="00FB4E15" w:rsidRPr="00B659E2" w:rsidRDefault="00FB4E15" w:rsidP="00FB4E15">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UMN Thapatali office and Cluster Offices are gender friendly and conducive environment to retain female staff</w:t>
      </w:r>
      <w:r w:rsidR="009A24B9" w:rsidRPr="00B659E2">
        <w:rPr>
          <w:rFonts w:asciiTheme="minorHAnsi" w:eastAsiaTheme="minorHAnsi" w:hAnsiTheme="minorHAnsi" w:cstheme="minorHAnsi"/>
          <w:szCs w:val="20"/>
          <w:lang w:val="en-GB" w:eastAsia="en-US" w:bidi="ne-NP"/>
        </w:rPr>
        <w:t>.</w:t>
      </w:r>
    </w:p>
    <w:p w14:paraId="6209DDDF" w14:textId="16549046" w:rsidR="00FB4E15" w:rsidRPr="00B659E2" w:rsidRDefault="00FB4E15" w:rsidP="00FB4E15">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Transparent system being implemented to allocate training, travel, and professional development opportunities</w:t>
      </w:r>
      <w:r w:rsidR="00105A0C" w:rsidRPr="00B659E2">
        <w:rPr>
          <w:rFonts w:asciiTheme="minorHAnsi" w:eastAsiaTheme="minorHAnsi" w:hAnsiTheme="minorHAnsi" w:cstheme="minorHAnsi"/>
          <w:szCs w:val="20"/>
          <w:lang w:val="en-GB" w:eastAsia="en-US" w:bidi="ne-NP"/>
        </w:rPr>
        <w:t>.</w:t>
      </w:r>
    </w:p>
    <w:p w14:paraId="452F9AAE" w14:textId="77777777" w:rsidR="00105A0C" w:rsidRPr="00B659E2" w:rsidRDefault="00105A0C" w:rsidP="009A24B9">
      <w:pPr>
        <w:pStyle w:val="Liststycke"/>
        <w:spacing w:after="0"/>
        <w:ind w:left="360"/>
        <w:rPr>
          <w:rFonts w:asciiTheme="minorHAnsi" w:hAnsiTheme="minorHAnsi" w:cstheme="minorHAnsi"/>
          <w:szCs w:val="22"/>
        </w:rPr>
      </w:pPr>
    </w:p>
    <w:p w14:paraId="192BF40B" w14:textId="77777777" w:rsidR="00105A0C" w:rsidRPr="00B659E2" w:rsidRDefault="00105A0C" w:rsidP="00E06C8C">
      <w:pPr>
        <w:pStyle w:val="Rubrik4"/>
        <w:numPr>
          <w:ilvl w:val="0"/>
          <w:numId w:val="8"/>
        </w:numPr>
        <w:tabs>
          <w:tab w:val="left" w:pos="426"/>
        </w:tabs>
        <w:spacing w:before="200" w:line="240" w:lineRule="auto"/>
        <w:ind w:hanging="720"/>
        <w:rPr>
          <w:rFonts w:asciiTheme="minorHAnsi" w:hAnsiTheme="minorHAnsi" w:cstheme="minorHAnsi"/>
          <w:b/>
          <w:bCs/>
          <w:i w:val="0"/>
          <w:iCs w:val="0"/>
          <w:color w:val="4472C4" w:themeColor="accent1"/>
          <w:szCs w:val="22"/>
          <w:lang w:bidi="ar-SA"/>
        </w:rPr>
      </w:pPr>
      <w:bookmarkStart w:id="2" w:name="_Toc532052238"/>
      <w:r w:rsidRPr="00B659E2">
        <w:rPr>
          <w:rFonts w:asciiTheme="minorHAnsi" w:hAnsiTheme="minorHAnsi" w:cstheme="minorHAnsi"/>
          <w:b/>
          <w:bCs/>
          <w:i w:val="0"/>
          <w:iCs w:val="0"/>
          <w:color w:val="4472C4" w:themeColor="accent1"/>
          <w:szCs w:val="22"/>
          <w:lang w:bidi="ar-SA"/>
        </w:rPr>
        <w:t>Networking and Advocacy</w:t>
      </w:r>
      <w:bookmarkEnd w:id="2"/>
    </w:p>
    <w:p w14:paraId="794A6C1B" w14:textId="4252EE5A" w:rsidR="00105A0C" w:rsidRPr="00B659E2" w:rsidRDefault="00105A0C" w:rsidP="00105A0C">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Enhanced knowledge and skills on networking and advocacy of community-based organisations.</w:t>
      </w:r>
    </w:p>
    <w:p w14:paraId="3CBC44C2" w14:textId="7CBB233C" w:rsidR="00105A0C" w:rsidRPr="00B659E2" w:rsidRDefault="00105A0C" w:rsidP="00E06C8C">
      <w:pPr>
        <w:pStyle w:val="Liststycke"/>
        <w:numPr>
          <w:ilvl w:val="0"/>
          <w:numId w:val="5"/>
        </w:numPr>
        <w:rPr>
          <w:rFonts w:asciiTheme="minorHAnsi" w:eastAsiaTheme="minorHAnsi" w:hAnsiTheme="minorHAnsi" w:cstheme="minorHAnsi"/>
          <w:szCs w:val="20"/>
          <w:lang w:val="en-GB" w:eastAsia="en-US" w:bidi="ne-NP"/>
        </w:rPr>
      </w:pPr>
      <w:r w:rsidRPr="00B659E2">
        <w:rPr>
          <w:rFonts w:asciiTheme="minorHAnsi" w:eastAsiaTheme="minorHAnsi" w:hAnsiTheme="minorHAnsi" w:cstheme="minorHAnsi"/>
          <w:szCs w:val="20"/>
          <w:lang w:val="en-GB" w:eastAsia="en-US" w:bidi="ne-NP"/>
        </w:rPr>
        <w:t>CBOs (volunteer-based organisations and networks) are working effectively for and advocating with communities and beneficiaries.</w:t>
      </w:r>
    </w:p>
    <w:p w14:paraId="064EEADB" w14:textId="5643DF98" w:rsidR="00105A0C" w:rsidRPr="00B659E2" w:rsidRDefault="00105A0C" w:rsidP="00E06C8C">
      <w:pPr>
        <w:pStyle w:val="Rubrik4"/>
        <w:numPr>
          <w:ilvl w:val="0"/>
          <w:numId w:val="8"/>
        </w:numPr>
        <w:tabs>
          <w:tab w:val="left" w:pos="426"/>
        </w:tabs>
        <w:spacing w:before="200" w:line="240" w:lineRule="auto"/>
        <w:ind w:hanging="720"/>
        <w:rPr>
          <w:rFonts w:asciiTheme="minorHAnsi" w:hAnsiTheme="minorHAnsi" w:cstheme="minorHAnsi"/>
          <w:b/>
          <w:bCs/>
          <w:i w:val="0"/>
          <w:iCs w:val="0"/>
          <w:color w:val="4472C4" w:themeColor="accent1"/>
          <w:szCs w:val="22"/>
          <w:lang w:bidi="ar-SA"/>
        </w:rPr>
      </w:pPr>
      <w:r w:rsidRPr="00B659E2">
        <w:rPr>
          <w:rFonts w:asciiTheme="minorHAnsi" w:hAnsiTheme="minorHAnsi" w:cstheme="minorHAnsi"/>
          <w:b/>
          <w:bCs/>
          <w:i w:val="0"/>
          <w:iCs w:val="0"/>
          <w:color w:val="4472C4" w:themeColor="accent1"/>
          <w:szCs w:val="22"/>
          <w:lang w:bidi="ar-SA"/>
        </w:rPr>
        <w:t>External Accountability</w:t>
      </w:r>
    </w:p>
    <w:p w14:paraId="0D40E3C1" w14:textId="7C90DA0D" w:rsidR="00105A0C" w:rsidRPr="00B659E2" w:rsidRDefault="00105A0C" w:rsidP="00105A0C">
      <w:pPr>
        <w:pStyle w:val="Liststycke"/>
        <w:numPr>
          <w:ilvl w:val="0"/>
          <w:numId w:val="5"/>
        </w:numPr>
        <w:rPr>
          <w:rFonts w:asciiTheme="minorHAnsi" w:hAnsiTheme="minorHAnsi" w:cstheme="minorHAnsi"/>
          <w:szCs w:val="22"/>
        </w:rPr>
      </w:pPr>
      <w:r w:rsidRPr="00B659E2">
        <w:rPr>
          <w:rFonts w:asciiTheme="minorHAnsi" w:hAnsiTheme="minorHAnsi" w:cstheme="minorHAnsi"/>
          <w:szCs w:val="22"/>
        </w:rPr>
        <w:t>Updated / revised transparency and accountability system and policies in UMN.</w:t>
      </w:r>
    </w:p>
    <w:p w14:paraId="0D6E0835" w14:textId="0BEDD18E" w:rsidR="00105A0C" w:rsidRPr="00B659E2" w:rsidRDefault="00105A0C" w:rsidP="00105A0C">
      <w:pPr>
        <w:pStyle w:val="Liststycke"/>
        <w:numPr>
          <w:ilvl w:val="0"/>
          <w:numId w:val="5"/>
        </w:numPr>
        <w:rPr>
          <w:rFonts w:asciiTheme="minorHAnsi" w:hAnsiTheme="minorHAnsi" w:cstheme="minorHAnsi"/>
          <w:szCs w:val="22"/>
        </w:rPr>
      </w:pPr>
      <w:r w:rsidRPr="00B659E2">
        <w:rPr>
          <w:rFonts w:asciiTheme="minorHAnsi" w:hAnsiTheme="minorHAnsi" w:cstheme="minorHAnsi"/>
          <w:szCs w:val="22"/>
        </w:rPr>
        <w:t>UMN staff and partner organisations are better aware on revised system and policies.</w:t>
      </w:r>
    </w:p>
    <w:p w14:paraId="6F619292" w14:textId="04B1A2DF" w:rsidR="00105A0C" w:rsidRPr="00B659E2" w:rsidRDefault="00105A0C" w:rsidP="00105A0C">
      <w:pPr>
        <w:pStyle w:val="Liststycke"/>
        <w:numPr>
          <w:ilvl w:val="0"/>
          <w:numId w:val="5"/>
        </w:numPr>
        <w:rPr>
          <w:rFonts w:asciiTheme="minorHAnsi" w:hAnsiTheme="minorHAnsi" w:cstheme="minorHAnsi"/>
          <w:szCs w:val="22"/>
        </w:rPr>
      </w:pPr>
      <w:r w:rsidRPr="00B659E2">
        <w:rPr>
          <w:rFonts w:asciiTheme="minorHAnsi" w:hAnsiTheme="minorHAnsi" w:cstheme="minorHAnsi"/>
          <w:szCs w:val="22"/>
        </w:rPr>
        <w:t>Improved organisational performance and service delivery system in UMN and partner organisations.</w:t>
      </w:r>
    </w:p>
    <w:sectPr w:rsidR="00105A0C" w:rsidRPr="00B6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253A5"/>
    <w:multiLevelType w:val="hybridMultilevel"/>
    <w:tmpl w:val="0F708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010F49"/>
    <w:multiLevelType w:val="hybridMultilevel"/>
    <w:tmpl w:val="8CB8F8A0"/>
    <w:lvl w:ilvl="0" w:tplc="69CC331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46049"/>
    <w:multiLevelType w:val="hybridMultilevel"/>
    <w:tmpl w:val="7A8012AE"/>
    <w:lvl w:ilvl="0" w:tplc="4A7842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F5861"/>
    <w:multiLevelType w:val="hybridMultilevel"/>
    <w:tmpl w:val="9AECE6CE"/>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4" w15:restartNumberingAfterBreak="0">
    <w:nsid w:val="5DF136CC"/>
    <w:multiLevelType w:val="hybridMultilevel"/>
    <w:tmpl w:val="C38C5438"/>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F6D16DE"/>
    <w:multiLevelType w:val="hybridMultilevel"/>
    <w:tmpl w:val="E3ACF0DC"/>
    <w:lvl w:ilvl="0" w:tplc="2B2A77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24019"/>
    <w:multiLevelType w:val="hybridMultilevel"/>
    <w:tmpl w:val="BB506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A70D5"/>
    <w:multiLevelType w:val="hybridMultilevel"/>
    <w:tmpl w:val="1EDC61B8"/>
    <w:lvl w:ilvl="0" w:tplc="830E0E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E4A67"/>
    <w:multiLevelType w:val="hybridMultilevel"/>
    <w:tmpl w:val="457C3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D0"/>
    <w:rsid w:val="00051312"/>
    <w:rsid w:val="00066C09"/>
    <w:rsid w:val="00105A0C"/>
    <w:rsid w:val="00183B70"/>
    <w:rsid w:val="001A0E6D"/>
    <w:rsid w:val="00201A72"/>
    <w:rsid w:val="00211AD0"/>
    <w:rsid w:val="002F007C"/>
    <w:rsid w:val="003332A0"/>
    <w:rsid w:val="0034620E"/>
    <w:rsid w:val="003D04DA"/>
    <w:rsid w:val="004A3EE1"/>
    <w:rsid w:val="004B0F40"/>
    <w:rsid w:val="005A72D4"/>
    <w:rsid w:val="006F0EA6"/>
    <w:rsid w:val="009A24B9"/>
    <w:rsid w:val="00AE5D2F"/>
    <w:rsid w:val="00B659E2"/>
    <w:rsid w:val="00B96AD3"/>
    <w:rsid w:val="00DF3A8F"/>
    <w:rsid w:val="00E06C8C"/>
    <w:rsid w:val="00E660F2"/>
    <w:rsid w:val="00F15AAE"/>
    <w:rsid w:val="00FB4E1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98F2"/>
  <w15:chartTrackingRefBased/>
  <w15:docId w15:val="{37500C03-F963-486D-B731-05767739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Rubrik1">
    <w:name w:val="heading 1"/>
    <w:basedOn w:val="Normal"/>
    <w:next w:val="Normal"/>
    <w:link w:val="Rubrik1Char"/>
    <w:uiPriority w:val="9"/>
    <w:qFormat/>
    <w:rsid w:val="003D04D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val="sv-SE" w:bidi="ar-SA"/>
    </w:rPr>
  </w:style>
  <w:style w:type="paragraph" w:styleId="Rubrik4">
    <w:name w:val="heading 4"/>
    <w:basedOn w:val="Normal"/>
    <w:next w:val="Normal"/>
    <w:link w:val="Rubrik4Char"/>
    <w:uiPriority w:val="9"/>
    <w:unhideWhenUsed/>
    <w:qFormat/>
    <w:rsid w:val="00105A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32A0"/>
    <w:pPr>
      <w:spacing w:after="120" w:line="240" w:lineRule="auto"/>
      <w:ind w:left="720"/>
      <w:contextualSpacing/>
    </w:pPr>
    <w:rPr>
      <w:rFonts w:ascii="Times New Roman" w:eastAsia="Times New Roman" w:hAnsi="Times New Roman" w:cs="Times New Roman"/>
      <w:szCs w:val="24"/>
      <w:lang w:val="sv-SE" w:eastAsia="sv-SE" w:bidi="ar-SA"/>
    </w:rPr>
  </w:style>
  <w:style w:type="character" w:customStyle="1" w:styleId="Rubrik1Char">
    <w:name w:val="Rubrik 1 Char"/>
    <w:basedOn w:val="Standardstycketeckensnitt"/>
    <w:link w:val="Rubrik1"/>
    <w:uiPriority w:val="9"/>
    <w:rsid w:val="003D04DA"/>
    <w:rPr>
      <w:rFonts w:asciiTheme="majorHAnsi" w:eastAsiaTheme="majorEastAsia" w:hAnsiTheme="majorHAnsi" w:cstheme="majorBidi"/>
      <w:color w:val="2F5496" w:themeColor="accent1" w:themeShade="BF"/>
      <w:sz w:val="32"/>
      <w:szCs w:val="32"/>
      <w:lang w:val="sv-SE" w:bidi="ar-SA"/>
    </w:rPr>
  </w:style>
  <w:style w:type="table" w:styleId="Tabellrutnt">
    <w:name w:val="Table Grid"/>
    <w:basedOn w:val="Normaltabell"/>
    <w:uiPriority w:val="59"/>
    <w:rsid w:val="003D04DA"/>
    <w:pPr>
      <w:spacing w:after="0" w:line="240" w:lineRule="auto"/>
    </w:pPr>
    <w:rPr>
      <w:rFonts w:ascii="Times New Roman" w:eastAsia="Times New Roman" w:hAnsi="Times New Roman" w:cs="Times New Roman"/>
      <w:sz w:val="20"/>
      <w:lang w:val="sv-SE" w:eastAsia="sv-S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6F0EA6"/>
    <w:pPr>
      <w:tabs>
        <w:tab w:val="center" w:pos="4819"/>
        <w:tab w:val="right" w:pos="9071"/>
      </w:tabs>
      <w:spacing w:after="0" w:line="240" w:lineRule="auto"/>
    </w:pPr>
    <w:rPr>
      <w:rFonts w:ascii="Times New Roman" w:eastAsia="Times New Roman" w:hAnsi="Times New Roman" w:cs="Times New Roman"/>
      <w:sz w:val="20"/>
      <w:lang w:val="sv-SE" w:bidi="ar-SA"/>
    </w:rPr>
  </w:style>
  <w:style w:type="character" w:customStyle="1" w:styleId="SidfotChar">
    <w:name w:val="Sidfot Char"/>
    <w:basedOn w:val="Standardstycketeckensnitt"/>
    <w:link w:val="Sidfot"/>
    <w:uiPriority w:val="99"/>
    <w:rsid w:val="006F0EA6"/>
    <w:rPr>
      <w:rFonts w:ascii="Times New Roman" w:eastAsia="Times New Roman" w:hAnsi="Times New Roman" w:cs="Times New Roman"/>
      <w:sz w:val="20"/>
      <w:lang w:val="sv-SE" w:bidi="ar-SA"/>
    </w:rPr>
  </w:style>
  <w:style w:type="character" w:customStyle="1" w:styleId="Rubrik4Char">
    <w:name w:val="Rubrik 4 Char"/>
    <w:basedOn w:val="Standardstycketeckensnitt"/>
    <w:link w:val="Rubrik4"/>
    <w:uiPriority w:val="9"/>
    <w:rsid w:val="00105A0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FEA9067D375B4E86EFE501E5011D73" ma:contentTypeVersion="14" ma:contentTypeDescription="Skapa ett nytt dokument." ma:contentTypeScope="" ma:versionID="3b3542c3abf960bc3bc64bf2e2954d08">
  <xsd:schema xmlns:xsd="http://www.w3.org/2001/XMLSchema" xmlns:xs="http://www.w3.org/2001/XMLSchema" xmlns:p="http://schemas.microsoft.com/office/2006/metadata/properties" xmlns:ns3="aa603e0b-73e6-4542-b7f2-83158f6df415" xmlns:ns4="b5df58b5-02cb-4e93-a1d2-86a6649174d2" targetNamespace="http://schemas.microsoft.com/office/2006/metadata/properties" ma:root="true" ma:fieldsID="7dc924fe34a03403266220652abf9d9d" ns3:_="" ns4:_="">
    <xsd:import namespace="aa603e0b-73e6-4542-b7f2-83158f6df415"/>
    <xsd:import namespace="b5df58b5-02cb-4e93-a1d2-86a6649174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3e0b-73e6-4542-b7f2-83158f6df41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58b5-02cb-4e93-a1d2-86a6649174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E2691-953F-4A8F-839C-1D008C4AF84A}">
  <ds:schemaRefs>
    <ds:schemaRef ds:uri="aa603e0b-73e6-4542-b7f2-83158f6df41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5df58b5-02cb-4e93-a1d2-86a6649174d2"/>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DB6AAD-5A71-4F59-97CE-1BF54700378A}">
  <ds:schemaRefs>
    <ds:schemaRef ds:uri="http://schemas.microsoft.com/sharepoint/v3/contenttype/forms"/>
  </ds:schemaRefs>
</ds:datastoreItem>
</file>

<file path=customXml/itemProps3.xml><?xml version="1.0" encoding="utf-8"?>
<ds:datastoreItem xmlns:ds="http://schemas.openxmlformats.org/officeDocument/2006/customXml" ds:itemID="{40C97C50-E5FC-4EC6-8E19-6D49E174F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3e0b-73e6-4542-b7f2-83158f6df415"/>
    <ds:schemaRef ds:uri="b5df58b5-02cb-4e93-a1d2-86a66491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3710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Gokarn Prasad Joshi</dc:creator>
  <cp:keywords/>
  <dc:description/>
  <cp:lastModifiedBy>Anna Maria Drew</cp:lastModifiedBy>
  <cp:revision>2</cp:revision>
  <dcterms:created xsi:type="dcterms:W3CDTF">2021-08-13T11:15:00Z</dcterms:created>
  <dcterms:modified xsi:type="dcterms:W3CDTF">2021-08-13T11:15:00Z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0x010100C1FEA9067D375B4E86EFE501E5011D73</vt:lpwstr>
  </property>
</Properties>
</file>